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A9" w:rsidRPr="00C71DB8" w:rsidRDefault="002E22A9" w:rsidP="002E22A9">
      <w:pPr>
        <w:pStyle w:val="EnvelopeReturn"/>
        <w:numPr>
          <w:ilvl w:val="0"/>
          <w:numId w:val="2"/>
        </w:numPr>
        <w:tabs>
          <w:tab w:val="left" w:pos="720"/>
        </w:tabs>
        <w:rPr>
          <w:b/>
          <w:bCs/>
          <w:sz w:val="20"/>
        </w:rPr>
      </w:pPr>
      <w:r w:rsidRPr="00C71DB8">
        <w:rPr>
          <w:b/>
          <w:bCs/>
          <w:sz w:val="20"/>
        </w:rPr>
        <w:t>EQUIPMENT</w:t>
      </w:r>
    </w:p>
    <w:p w:rsidR="002E22A9" w:rsidRPr="005706B7" w:rsidRDefault="002E22A9" w:rsidP="002E22A9">
      <w:pPr>
        <w:pStyle w:val="EnvelopeReturn"/>
        <w:tabs>
          <w:tab w:val="left" w:pos="720"/>
          <w:tab w:val="left" w:pos="1440"/>
        </w:tabs>
        <w:rPr>
          <w:bCs/>
          <w:sz w:val="20"/>
        </w:rPr>
      </w:pPr>
    </w:p>
    <w:p w:rsidR="002E22A9" w:rsidRPr="00C71DB8" w:rsidRDefault="002E22A9" w:rsidP="002E22A9">
      <w:pPr>
        <w:pStyle w:val="EnvelopeReturn"/>
        <w:numPr>
          <w:ilvl w:val="1"/>
          <w:numId w:val="1"/>
        </w:numPr>
        <w:rPr>
          <w:sz w:val="20"/>
        </w:rPr>
      </w:pPr>
      <w:r w:rsidRPr="00C71DB8">
        <w:rPr>
          <w:b/>
          <w:sz w:val="20"/>
        </w:rPr>
        <w:t>Bleachers</w:t>
      </w:r>
    </w:p>
    <w:p w:rsidR="002E22A9" w:rsidRPr="00C71DB8" w:rsidRDefault="002E22A9" w:rsidP="002E22A9">
      <w:pPr>
        <w:pStyle w:val="EnvelopeReturn"/>
        <w:ind w:left="720"/>
        <w:rPr>
          <w:sz w:val="20"/>
        </w:rPr>
      </w:pPr>
    </w:p>
    <w:p w:rsidR="002E22A9" w:rsidRPr="007621FB" w:rsidRDefault="002E22A9" w:rsidP="002E22A9">
      <w:pPr>
        <w:pStyle w:val="EnvelopeReturn"/>
        <w:numPr>
          <w:ilvl w:val="2"/>
          <w:numId w:val="1"/>
        </w:numPr>
        <w:tabs>
          <w:tab w:val="left" w:pos="1440"/>
        </w:tabs>
        <w:rPr>
          <w:sz w:val="20"/>
        </w:rPr>
      </w:pPr>
      <w:r w:rsidRPr="005706B7">
        <w:rPr>
          <w:sz w:val="20"/>
        </w:rPr>
        <w:t xml:space="preserve">To request the use of bleachers, a </w:t>
      </w:r>
      <w:r w:rsidRPr="00C71DB8">
        <w:rPr>
          <w:b/>
          <w:i/>
          <w:iCs/>
          <w:sz w:val="20"/>
        </w:rPr>
        <w:t>“Bleacher Request Form”</w:t>
      </w:r>
      <w:r w:rsidRPr="00C71DB8">
        <w:rPr>
          <w:b/>
          <w:i/>
          <w:sz w:val="20"/>
        </w:rPr>
        <w:t xml:space="preserve"> (Addendum </w:t>
      </w:r>
      <w:r>
        <w:rPr>
          <w:b/>
          <w:i/>
          <w:sz w:val="20"/>
        </w:rPr>
        <w:t>D</w:t>
      </w:r>
      <w:r w:rsidRPr="00C71DB8">
        <w:rPr>
          <w:b/>
          <w:i/>
          <w:sz w:val="20"/>
        </w:rPr>
        <w:t>)</w:t>
      </w:r>
      <w:r w:rsidRPr="005706B7">
        <w:rPr>
          <w:sz w:val="20"/>
        </w:rPr>
        <w:t xml:space="preserve"> must be filled out and submitted.  This form can be obtained by calling </w:t>
      </w:r>
      <w:r>
        <w:rPr>
          <w:sz w:val="20"/>
        </w:rPr>
        <w:t xml:space="preserve">         </w:t>
      </w:r>
      <w:r w:rsidRPr="005706B7">
        <w:rPr>
          <w:sz w:val="20"/>
        </w:rPr>
        <w:t xml:space="preserve">(252) </w:t>
      </w:r>
      <w:r>
        <w:rPr>
          <w:sz w:val="20"/>
        </w:rPr>
        <w:t>808-3301</w:t>
      </w:r>
      <w:r>
        <w:rPr>
          <w:bCs/>
          <w:sz w:val="20"/>
        </w:rPr>
        <w:t xml:space="preserve"> or on www.ccparksrec.com.</w:t>
      </w:r>
      <w:r w:rsidRPr="005706B7">
        <w:rPr>
          <w:bCs/>
          <w:sz w:val="20"/>
        </w:rPr>
        <w:t xml:space="preserve">  Effective July 1, 2003, a </w:t>
      </w:r>
      <w:r w:rsidRPr="005706B7">
        <w:rPr>
          <w:bCs/>
          <w:i/>
          <w:iCs/>
          <w:sz w:val="20"/>
        </w:rPr>
        <w:t>“Bleacher Fee”</w:t>
      </w:r>
      <w:r w:rsidRPr="005706B7">
        <w:rPr>
          <w:bCs/>
          <w:sz w:val="20"/>
        </w:rPr>
        <w:t xml:space="preserve"> has been imposed for all users.</w:t>
      </w:r>
      <w:r>
        <w:rPr>
          <w:bCs/>
          <w:sz w:val="20"/>
        </w:rPr>
        <w:t xml:space="preserve">  </w:t>
      </w:r>
      <w:r>
        <w:rPr>
          <w:sz w:val="20"/>
        </w:rPr>
        <w:t>FEE APPLIED</w:t>
      </w:r>
    </w:p>
    <w:p w:rsidR="002E22A9" w:rsidRPr="007621FB" w:rsidRDefault="002E22A9" w:rsidP="002E22A9">
      <w:pPr>
        <w:pStyle w:val="EnvelopeReturn"/>
        <w:tabs>
          <w:tab w:val="left" w:pos="1440"/>
        </w:tabs>
        <w:ind w:left="1440"/>
        <w:rPr>
          <w:sz w:val="20"/>
        </w:rPr>
      </w:pPr>
    </w:p>
    <w:p w:rsidR="002E22A9" w:rsidRPr="0003471A" w:rsidRDefault="002E22A9" w:rsidP="002E22A9">
      <w:pPr>
        <w:pStyle w:val="EnvelopeReturn"/>
        <w:numPr>
          <w:ilvl w:val="2"/>
          <w:numId w:val="1"/>
        </w:numPr>
        <w:tabs>
          <w:tab w:val="left" w:pos="1440"/>
        </w:tabs>
        <w:rPr>
          <w:sz w:val="20"/>
        </w:rPr>
      </w:pPr>
      <w:r w:rsidRPr="005706B7">
        <w:rPr>
          <w:bCs/>
          <w:sz w:val="20"/>
        </w:rPr>
        <w:t xml:space="preserve">Bleachers should not be requested for more than three (3) days.  If needing to maintain longer, a written request should be made to the CCPR Director for approval.  Request for bleachers must be submitted at least </w:t>
      </w:r>
      <w:r>
        <w:rPr>
          <w:bCs/>
          <w:sz w:val="20"/>
        </w:rPr>
        <w:t>two (2) weeks</w:t>
      </w:r>
      <w:r w:rsidRPr="005706B7">
        <w:rPr>
          <w:bCs/>
          <w:sz w:val="20"/>
        </w:rPr>
        <w:t xml:space="preserve"> prior to usage.  When requesting bleachers, keep in mind that bleachers should be placed in</w:t>
      </w:r>
      <w:r>
        <w:rPr>
          <w:bCs/>
          <w:sz w:val="20"/>
        </w:rPr>
        <w:t xml:space="preserve"> </w:t>
      </w:r>
      <w:r w:rsidRPr="005706B7">
        <w:rPr>
          <w:bCs/>
          <w:sz w:val="20"/>
        </w:rPr>
        <w:t xml:space="preserve">reasonable locations.  They are extremely difficult for CCPR staff to </w:t>
      </w:r>
      <w:r>
        <w:rPr>
          <w:bCs/>
          <w:sz w:val="20"/>
        </w:rPr>
        <w:t>p</w:t>
      </w:r>
      <w:r w:rsidRPr="005706B7">
        <w:rPr>
          <w:bCs/>
          <w:sz w:val="20"/>
        </w:rPr>
        <w:t>lace inside buildings, tents, and carry across ditches or fences.</w:t>
      </w:r>
    </w:p>
    <w:p w:rsidR="002E22A9" w:rsidRDefault="002E22A9" w:rsidP="002E22A9">
      <w:pPr>
        <w:pStyle w:val="ListParagraph"/>
        <w:rPr>
          <w:sz w:val="20"/>
        </w:rPr>
      </w:pPr>
    </w:p>
    <w:p w:rsidR="002E22A9" w:rsidRPr="005706B7" w:rsidRDefault="002E22A9" w:rsidP="002E22A9">
      <w:pPr>
        <w:pStyle w:val="EnvelopeReturn"/>
        <w:numPr>
          <w:ilvl w:val="2"/>
          <w:numId w:val="1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Bleacher user must meet liability insurance requirements and agree to be responsible for repairs made necessary while in their care as outlined on </w:t>
      </w:r>
      <w:r w:rsidRPr="000E6C49">
        <w:rPr>
          <w:b/>
          <w:i/>
          <w:sz w:val="20"/>
        </w:rPr>
        <w:t>Bleacher Request Form (Addendum D)</w:t>
      </w:r>
      <w:r>
        <w:rPr>
          <w:b/>
          <w:sz w:val="20"/>
        </w:rPr>
        <w:t>.</w:t>
      </w:r>
    </w:p>
    <w:p w:rsidR="002E22A9" w:rsidRPr="005706B7" w:rsidRDefault="002E22A9" w:rsidP="002E22A9">
      <w:pPr>
        <w:ind w:firstLine="2160"/>
        <w:rPr>
          <w:rFonts w:ascii="Arial" w:hAnsi="Arial" w:cs="Microsoft Sans Serif"/>
          <w:sz w:val="20"/>
          <w:szCs w:val="20"/>
        </w:rPr>
      </w:pPr>
    </w:p>
    <w:p w:rsidR="002E22A9" w:rsidRPr="00485901" w:rsidRDefault="002E22A9" w:rsidP="002E22A9">
      <w:pPr>
        <w:pStyle w:val="Heading3"/>
        <w:numPr>
          <w:ilvl w:val="2"/>
          <w:numId w:val="1"/>
        </w:numPr>
        <w:spacing w:line="240" w:lineRule="auto"/>
        <w:rPr>
          <w:rFonts w:ascii="Arial" w:hAnsi="Arial"/>
          <w:b w:val="0"/>
          <w:sz w:val="20"/>
          <w:szCs w:val="20"/>
        </w:rPr>
      </w:pPr>
      <w:r w:rsidRPr="00485901">
        <w:rPr>
          <w:rFonts w:ascii="Arial" w:hAnsi="Arial" w:cs="Arial"/>
          <w:b w:val="0"/>
          <w:sz w:val="20"/>
          <w:szCs w:val="20"/>
        </w:rPr>
        <w:t>Client Usage</w:t>
      </w:r>
    </w:p>
    <w:p w:rsidR="002E22A9" w:rsidRPr="007621FB" w:rsidRDefault="002E22A9" w:rsidP="002E22A9">
      <w:pPr>
        <w:numPr>
          <w:ilvl w:val="3"/>
          <w:numId w:val="1"/>
        </w:numPr>
        <w:tabs>
          <w:tab w:val="left" w:pos="1440"/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7621FB">
        <w:rPr>
          <w:rFonts w:ascii="Arial" w:hAnsi="Arial" w:cs="Arial"/>
          <w:bCs/>
          <w:sz w:val="20"/>
          <w:szCs w:val="20"/>
        </w:rPr>
        <w:t>Individual Use</w:t>
      </w:r>
      <w:r w:rsidRPr="007621FB">
        <w:rPr>
          <w:rFonts w:ascii="Arial" w:hAnsi="Arial" w:cs="Microsoft Sans Serif"/>
          <w:bCs/>
          <w:sz w:val="20"/>
          <w:szCs w:val="20"/>
        </w:rPr>
        <w:t xml:space="preserve">:  </w:t>
      </w:r>
      <w:r w:rsidRPr="007621FB">
        <w:rPr>
          <w:rFonts w:ascii="Arial" w:hAnsi="Arial" w:cs="Arial"/>
          <w:sz w:val="20"/>
          <w:szCs w:val="20"/>
        </w:rPr>
        <w:t xml:space="preserve">Individual use for his/her own personal reasons or by an individual in order to hold a function involving others, including groups, associations, clubs, leagues, organizations, etc.  Unless the CCPR Department sponsors such use, the contracting individual will be treated as a </w:t>
      </w:r>
      <w:r w:rsidRPr="007621FB">
        <w:rPr>
          <w:rFonts w:ascii="Arial" w:hAnsi="Arial" w:cs="Arial"/>
          <w:bCs/>
          <w:i/>
          <w:iCs/>
          <w:sz w:val="20"/>
          <w:szCs w:val="20"/>
        </w:rPr>
        <w:t xml:space="preserve">profit-making entity.  </w:t>
      </w:r>
      <w:r w:rsidRPr="007621FB">
        <w:rPr>
          <w:rFonts w:ascii="Arial" w:hAnsi="Arial" w:cs="Arial"/>
          <w:bCs/>
          <w:sz w:val="20"/>
          <w:szCs w:val="20"/>
        </w:rPr>
        <w:t>(This includes municipalities, townships, schools, etc.)</w:t>
      </w:r>
    </w:p>
    <w:p w:rsidR="002E22A9" w:rsidRPr="007621FB" w:rsidRDefault="002E22A9" w:rsidP="002E22A9">
      <w:pPr>
        <w:numPr>
          <w:ilvl w:val="3"/>
          <w:numId w:val="1"/>
        </w:numPr>
        <w:tabs>
          <w:tab w:val="left" w:pos="1260"/>
          <w:tab w:val="left" w:pos="1620"/>
        </w:tabs>
        <w:rPr>
          <w:rFonts w:ascii="Arial" w:hAnsi="Arial" w:cs="Arial"/>
          <w:sz w:val="20"/>
          <w:szCs w:val="20"/>
        </w:rPr>
      </w:pPr>
      <w:r w:rsidRPr="007621FB">
        <w:rPr>
          <w:rFonts w:ascii="Arial" w:hAnsi="Arial" w:cs="Arial"/>
          <w:bCs/>
          <w:sz w:val="20"/>
          <w:szCs w:val="20"/>
        </w:rPr>
        <w:t>Profit Use</w:t>
      </w:r>
      <w:r w:rsidRPr="005706B7">
        <w:rPr>
          <w:rFonts w:ascii="Arial" w:hAnsi="Arial" w:cs="Arial"/>
          <w:bCs/>
          <w:sz w:val="20"/>
          <w:szCs w:val="20"/>
        </w:rPr>
        <w:t xml:space="preserve">:  </w:t>
      </w:r>
      <w:r w:rsidRPr="005706B7">
        <w:rPr>
          <w:rFonts w:ascii="Arial" w:hAnsi="Arial" w:cs="Arial"/>
          <w:sz w:val="20"/>
          <w:szCs w:val="20"/>
        </w:rPr>
        <w:t xml:space="preserve">Any function that </w:t>
      </w:r>
      <w:r w:rsidRPr="005706B7">
        <w:rPr>
          <w:rFonts w:ascii="Arial" w:hAnsi="Arial" w:cs="Arial"/>
          <w:bCs/>
          <w:i/>
          <w:iCs/>
          <w:sz w:val="20"/>
          <w:szCs w:val="20"/>
        </w:rPr>
        <w:t xml:space="preserve">does </w:t>
      </w:r>
      <w:r w:rsidRPr="007621FB">
        <w:rPr>
          <w:rFonts w:ascii="Arial" w:hAnsi="Arial" w:cs="Arial"/>
          <w:bCs/>
          <w:iCs/>
          <w:sz w:val="20"/>
          <w:szCs w:val="20"/>
        </w:rPr>
        <w:t>not qu</w:t>
      </w:r>
      <w:r>
        <w:rPr>
          <w:rFonts w:ascii="Arial" w:hAnsi="Arial" w:cs="Arial"/>
          <w:bCs/>
          <w:iCs/>
          <w:sz w:val="20"/>
          <w:szCs w:val="20"/>
        </w:rPr>
        <w:t xml:space="preserve">alify as a non-profit function </w:t>
      </w:r>
      <w:r w:rsidRPr="007621FB">
        <w:rPr>
          <w:rFonts w:ascii="Arial" w:hAnsi="Arial" w:cs="Arial"/>
          <w:bCs/>
          <w:iCs/>
          <w:sz w:val="20"/>
          <w:szCs w:val="20"/>
        </w:rPr>
        <w:t>a</w:t>
      </w:r>
      <w:r w:rsidRPr="007621FB">
        <w:rPr>
          <w:rFonts w:ascii="Arial" w:hAnsi="Arial" w:cs="Arial"/>
          <w:sz w:val="20"/>
          <w:szCs w:val="20"/>
        </w:rPr>
        <w:t>s set forth in the below definition.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E22A9" w:rsidRPr="001E249E" w:rsidRDefault="002E22A9" w:rsidP="002E22A9">
      <w:pPr>
        <w:pStyle w:val="Heading1"/>
        <w:numPr>
          <w:ilvl w:val="3"/>
          <w:numId w:val="1"/>
        </w:numPr>
        <w:tabs>
          <w:tab w:val="clear" w:pos="1800"/>
          <w:tab w:val="left" w:pos="1620"/>
        </w:tabs>
        <w:spacing w:line="240" w:lineRule="auto"/>
        <w:rPr>
          <w:b w:val="0"/>
          <w:sz w:val="20"/>
          <w:szCs w:val="20"/>
        </w:rPr>
      </w:pPr>
      <w:r w:rsidRPr="001E249E">
        <w:rPr>
          <w:b w:val="0"/>
          <w:sz w:val="20"/>
          <w:szCs w:val="20"/>
        </w:rPr>
        <w:t>Non-Profit Use:  Any non-profit individuals, groups, associations, clubs, leagues, organizations, etc., must present a written copy of their Internal Revenue Service (IRS) designation as a 501(c</w:t>
      </w:r>
      <w:proofErr w:type="gramStart"/>
      <w:r w:rsidRPr="001E249E">
        <w:rPr>
          <w:b w:val="0"/>
          <w:sz w:val="20"/>
          <w:szCs w:val="20"/>
        </w:rPr>
        <w:t>)3</w:t>
      </w:r>
      <w:proofErr w:type="gramEnd"/>
      <w:r w:rsidRPr="001E249E">
        <w:rPr>
          <w:b w:val="0"/>
          <w:sz w:val="20"/>
          <w:szCs w:val="20"/>
        </w:rPr>
        <w:t xml:space="preserve"> exemption or similar entity.</w:t>
      </w:r>
    </w:p>
    <w:p w:rsidR="002E22A9" w:rsidRDefault="002E22A9" w:rsidP="002E22A9">
      <w:pPr>
        <w:tabs>
          <w:tab w:val="left" w:pos="1260"/>
          <w:tab w:val="left" w:pos="1620"/>
        </w:tabs>
        <w:ind w:left="2160"/>
        <w:rPr>
          <w:rFonts w:ascii="Arial" w:hAnsi="Arial" w:cs="Arial"/>
          <w:bCs/>
          <w:sz w:val="20"/>
          <w:szCs w:val="20"/>
        </w:rPr>
      </w:pPr>
    </w:p>
    <w:p w:rsidR="002E22A9" w:rsidRPr="007621FB" w:rsidRDefault="002E22A9" w:rsidP="002E22A9">
      <w:pPr>
        <w:tabs>
          <w:tab w:val="left" w:pos="1260"/>
          <w:tab w:val="left" w:pos="1620"/>
        </w:tabs>
        <w:ind w:left="2160"/>
        <w:rPr>
          <w:rFonts w:ascii="Arial" w:hAnsi="Arial" w:cs="Arial"/>
          <w:bCs/>
          <w:sz w:val="20"/>
          <w:szCs w:val="20"/>
        </w:rPr>
      </w:pPr>
    </w:p>
    <w:p w:rsidR="002E22A9" w:rsidRPr="007621FB" w:rsidRDefault="002E22A9" w:rsidP="002E22A9">
      <w:pPr>
        <w:numPr>
          <w:ilvl w:val="2"/>
          <w:numId w:val="1"/>
        </w:num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7621FB">
        <w:rPr>
          <w:rFonts w:ascii="Arial" w:hAnsi="Arial"/>
          <w:b/>
          <w:sz w:val="20"/>
          <w:szCs w:val="20"/>
        </w:rPr>
        <w:t>Procedures</w:t>
      </w:r>
    </w:p>
    <w:p w:rsidR="002E22A9" w:rsidRPr="007621FB" w:rsidRDefault="002E22A9" w:rsidP="002E22A9">
      <w:pPr>
        <w:numPr>
          <w:ilvl w:val="3"/>
          <w:numId w:val="1"/>
        </w:numPr>
        <w:tabs>
          <w:tab w:val="left" w:pos="1260"/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7621FB">
        <w:rPr>
          <w:rFonts w:ascii="Arial" w:hAnsi="Arial" w:cs="Arial"/>
          <w:sz w:val="20"/>
          <w:szCs w:val="20"/>
        </w:rPr>
        <w:t xml:space="preserve">Obtain a </w:t>
      </w:r>
      <w:r w:rsidRPr="007621FB">
        <w:rPr>
          <w:rFonts w:ascii="Arial" w:hAnsi="Arial" w:cs="Arial"/>
          <w:bCs/>
          <w:iCs/>
          <w:sz w:val="20"/>
          <w:szCs w:val="20"/>
        </w:rPr>
        <w:t>“</w:t>
      </w:r>
      <w:r w:rsidRPr="00F97CD6">
        <w:rPr>
          <w:rFonts w:ascii="Arial" w:hAnsi="Arial" w:cs="Arial"/>
          <w:b/>
          <w:bCs/>
          <w:iCs/>
          <w:sz w:val="20"/>
          <w:szCs w:val="20"/>
        </w:rPr>
        <w:t>Bleacher Request Form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Addendum D</w:t>
      </w:r>
      <w:r w:rsidRPr="00F97CD6">
        <w:rPr>
          <w:rFonts w:ascii="Arial" w:hAnsi="Arial" w:cs="Arial"/>
          <w:b/>
          <w:bCs/>
          <w:iCs/>
          <w:sz w:val="20"/>
          <w:szCs w:val="20"/>
        </w:rPr>
        <w:t>”</w:t>
      </w:r>
      <w:r w:rsidRPr="007621FB">
        <w:rPr>
          <w:rFonts w:ascii="Arial" w:hAnsi="Arial" w:cs="Arial"/>
          <w:sz w:val="20"/>
          <w:szCs w:val="20"/>
        </w:rPr>
        <w:t xml:space="preserve"> by calling </w:t>
      </w:r>
      <w:r>
        <w:rPr>
          <w:rFonts w:ascii="Arial" w:hAnsi="Arial" w:cs="Arial"/>
          <w:sz w:val="20"/>
          <w:szCs w:val="20"/>
        </w:rPr>
        <w:t xml:space="preserve">252-808-3301 </w:t>
      </w:r>
      <w:r w:rsidRPr="007621FB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on</w:t>
      </w:r>
      <w:r w:rsidRPr="007621F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621FB">
          <w:rPr>
            <w:rStyle w:val="Hyperlink"/>
            <w:rFonts w:ascii="Arial" w:hAnsi="Arial" w:cs="Arial"/>
            <w:sz w:val="20"/>
            <w:szCs w:val="20"/>
          </w:rPr>
          <w:t>www.ccparksrec.com</w:t>
        </w:r>
      </w:hyperlink>
      <w:r w:rsidRPr="007621FB">
        <w:rPr>
          <w:rFonts w:ascii="Arial" w:hAnsi="Arial" w:cs="Arial"/>
          <w:sz w:val="20"/>
          <w:szCs w:val="20"/>
        </w:rPr>
        <w:t>.</w:t>
      </w:r>
    </w:p>
    <w:p w:rsidR="002E22A9" w:rsidRPr="00F97CD6" w:rsidRDefault="002E22A9" w:rsidP="002E22A9">
      <w:pPr>
        <w:numPr>
          <w:ilvl w:val="3"/>
          <w:numId w:val="1"/>
        </w:numPr>
        <w:tabs>
          <w:tab w:val="left" w:pos="1260"/>
          <w:tab w:val="left" w:pos="1620"/>
        </w:tabs>
        <w:rPr>
          <w:rFonts w:ascii="Arial" w:hAnsi="Arial" w:cs="Arial"/>
        </w:rPr>
      </w:pPr>
      <w:r w:rsidRPr="00F97CD6">
        <w:rPr>
          <w:rFonts w:ascii="Arial" w:hAnsi="Arial" w:cs="Arial"/>
          <w:sz w:val="20"/>
          <w:szCs w:val="20"/>
        </w:rPr>
        <w:t xml:space="preserve">Form must be filled out in its entirety, including the </w:t>
      </w:r>
      <w:r w:rsidRPr="00F97CD6">
        <w:rPr>
          <w:rFonts w:ascii="Arial" w:hAnsi="Arial" w:cs="Arial"/>
          <w:bCs/>
          <w:iCs/>
          <w:sz w:val="20"/>
          <w:szCs w:val="20"/>
        </w:rPr>
        <w:t>“Waiver and Release of Liability”</w:t>
      </w:r>
      <w:r w:rsidRPr="00F97CD6">
        <w:rPr>
          <w:rFonts w:ascii="Arial" w:hAnsi="Arial" w:cs="Arial"/>
          <w:sz w:val="20"/>
          <w:szCs w:val="20"/>
        </w:rPr>
        <w:t xml:space="preserve">.  Return it, along with the appropriate fee to the department, at least two (2) weeks prior to the scheduled event.  </w:t>
      </w:r>
      <w:r w:rsidRPr="00F97CD6">
        <w:rPr>
          <w:rFonts w:ascii="Arial" w:hAnsi="Arial" w:cs="Arial"/>
          <w:bCs/>
          <w:iCs/>
          <w:sz w:val="20"/>
          <w:szCs w:val="20"/>
        </w:rPr>
        <w:t xml:space="preserve">Payment of the fee must be received before your request will be finalized. </w:t>
      </w:r>
      <w:r w:rsidRPr="00F97CD6">
        <w:rPr>
          <w:rFonts w:ascii="Arial" w:hAnsi="Arial" w:cs="Arial"/>
          <w:sz w:val="20"/>
          <w:szCs w:val="20"/>
        </w:rPr>
        <w:t>Each request is handled on a first-come, first-served basis, and every effort is made to fulfill the request.</w:t>
      </w:r>
    </w:p>
    <w:p w:rsidR="002E22A9" w:rsidRDefault="002E22A9" w:rsidP="002E22A9">
      <w:pPr>
        <w:numPr>
          <w:ilvl w:val="3"/>
          <w:numId w:val="1"/>
        </w:numPr>
        <w:tabs>
          <w:tab w:val="left" w:pos="1260"/>
          <w:tab w:val="left" w:pos="1620"/>
        </w:tabs>
        <w:rPr>
          <w:rFonts w:ascii="Arial" w:hAnsi="Arial" w:cs="Arial"/>
        </w:rPr>
      </w:pPr>
      <w:r w:rsidRPr="005706B7">
        <w:rPr>
          <w:rFonts w:ascii="Arial" w:hAnsi="Arial" w:cs="Arial"/>
          <w:sz w:val="20"/>
          <w:szCs w:val="20"/>
        </w:rPr>
        <w:t>Bleachers will be delivered in the morning on the day of the event, unless the event is scheduled for a Saturday, Sunday or holiday.  For Saturday and Sunday events, bleachers will be delivered on Friday.  If a request is made for an event taking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place on a holiday, and depending on what day the holiday falls on, bleachers will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be delivered the day before, as the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department staff does not work on some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holidays.  The bleachers should only be requested for a (48) hour period.  In the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case individuals/ groups wish to make their request for longer than the (48) hour period a letter should be su</w:t>
      </w:r>
      <w:r w:rsidRPr="004D71AA">
        <w:rPr>
          <w:rFonts w:ascii="Arial" w:hAnsi="Arial" w:cs="Arial"/>
          <w:sz w:val="20"/>
          <w:szCs w:val="20"/>
        </w:rPr>
        <w:t>bmitted to the CCPR director explaining the request.</w:t>
      </w:r>
      <w:r>
        <w:rPr>
          <w:rFonts w:ascii="Arial" w:hAnsi="Arial" w:cs="Arial"/>
        </w:rPr>
        <w:t xml:space="preserve"> </w:t>
      </w:r>
    </w:p>
    <w:p w:rsidR="00257DA0" w:rsidRDefault="00257DA0">
      <w:bookmarkStart w:id="0" w:name="_GoBack"/>
      <w:bookmarkEnd w:id="0"/>
    </w:p>
    <w:sectPr w:rsidR="00257DA0" w:rsidSect="004D7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0" w:rsidRDefault="002E2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FC0" w:rsidRDefault="002E2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0" w:rsidRDefault="002E22A9" w:rsidP="007610D3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</w:p>
  <w:p w:rsidR="005D3FC0" w:rsidRPr="00F65854" w:rsidRDefault="002E22A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Adopted 5-21-2012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F65854">
      <w:rPr>
        <w:rFonts w:ascii="Arial" w:hAnsi="Arial" w:cs="Arial"/>
        <w:sz w:val="18"/>
        <w:szCs w:val="18"/>
      </w:rPr>
      <w:t xml:space="preserve">page </w:t>
    </w:r>
    <w:r w:rsidRPr="00F65854">
      <w:rPr>
        <w:rStyle w:val="PageNumber"/>
        <w:rFonts w:ascii="Arial" w:hAnsi="Arial" w:cs="Arial"/>
        <w:sz w:val="18"/>
        <w:szCs w:val="18"/>
      </w:rPr>
      <w:fldChar w:fldCharType="begin"/>
    </w:r>
    <w:r w:rsidRPr="00F6585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65854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20</w:t>
    </w:r>
    <w:r w:rsidRPr="00F65854">
      <w:rPr>
        <w:rStyle w:val="PageNumber"/>
        <w:rFonts w:ascii="Arial" w:hAnsi="Arial" w:cs="Arial"/>
        <w:sz w:val="18"/>
        <w:szCs w:val="18"/>
      </w:rPr>
      <w:fldChar w:fldCharType="end"/>
    </w:r>
    <w:r w:rsidRPr="00F65854">
      <w:rPr>
        <w:rStyle w:val="PageNumber"/>
        <w:rFonts w:ascii="Arial" w:hAnsi="Arial" w:cs="Arial"/>
        <w:sz w:val="18"/>
        <w:szCs w:val="18"/>
      </w:rPr>
      <w:t xml:space="preserve"> of </w:t>
    </w:r>
    <w:r w:rsidRPr="00F65854">
      <w:rPr>
        <w:rStyle w:val="PageNumber"/>
        <w:rFonts w:ascii="Arial" w:hAnsi="Arial" w:cs="Arial"/>
        <w:sz w:val="18"/>
        <w:szCs w:val="18"/>
      </w:rPr>
      <w:fldChar w:fldCharType="begin"/>
    </w:r>
    <w:r w:rsidRPr="00F65854">
      <w:rPr>
        <w:rStyle w:val="PageNumber"/>
        <w:rFonts w:ascii="Arial" w:hAnsi="Arial" w:cs="Arial"/>
        <w:sz w:val="18"/>
        <w:szCs w:val="18"/>
      </w:rPr>
      <w:instrText xml:space="preserve"> NUMPAG</w:instrText>
    </w:r>
    <w:r w:rsidRPr="00F65854">
      <w:rPr>
        <w:rStyle w:val="PageNumber"/>
        <w:rFonts w:ascii="Arial" w:hAnsi="Arial" w:cs="Arial"/>
        <w:sz w:val="18"/>
        <w:szCs w:val="18"/>
      </w:rPr>
      <w:instrText xml:space="preserve">ES </w:instrText>
    </w:r>
    <w:r w:rsidRPr="00F65854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21</w:t>
    </w:r>
    <w:r w:rsidRPr="00F6585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0" w:rsidRDefault="002E22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FC0" w:rsidRDefault="002E22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0" w:rsidRDefault="002E22A9">
    <w:pPr>
      <w:pStyle w:val="Header"/>
      <w:framePr w:wrap="around" w:vAnchor="text" w:hAnchor="margin" w:xAlign="right" w:y="1"/>
      <w:rPr>
        <w:rStyle w:val="PageNumber"/>
      </w:rPr>
    </w:pPr>
  </w:p>
  <w:p w:rsidR="005D3FC0" w:rsidRPr="00A53FA1" w:rsidRDefault="002E22A9" w:rsidP="00063A9A">
    <w:pPr>
      <w:pStyle w:val="Header"/>
      <w:tabs>
        <w:tab w:val="clear" w:pos="8640"/>
        <w:tab w:val="right" w:pos="9360"/>
      </w:tabs>
      <w:rPr>
        <w:rFonts w:ascii="Arial" w:hAnsi="Arial" w:cs="Arial"/>
        <w:b/>
        <w:bCs/>
        <w:spacing w:val="20"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A53FA1">
          <w:rPr>
            <w:rFonts w:ascii="Arial" w:hAnsi="Arial" w:cs="Arial"/>
            <w:b/>
            <w:bCs/>
            <w:iCs/>
            <w:spacing w:val="20"/>
            <w:sz w:val="22"/>
            <w:szCs w:val="22"/>
          </w:rPr>
          <w:t>Carteret</w:t>
        </w:r>
      </w:smartTag>
      <w:r w:rsidRPr="00A53FA1">
        <w:rPr>
          <w:rFonts w:ascii="Arial" w:hAnsi="Arial" w:cs="Arial"/>
          <w:b/>
          <w:bCs/>
          <w:iCs/>
          <w:spacing w:val="20"/>
          <w:sz w:val="22"/>
          <w:szCs w:val="22"/>
        </w:rPr>
        <w:t xml:space="preserve"> </w:t>
      </w:r>
      <w:smartTag w:uri="urn:schemas-microsoft-com:office:smarttags" w:element="PlaceType">
        <w:r w:rsidRPr="00A53FA1">
          <w:rPr>
            <w:rFonts w:ascii="Arial" w:hAnsi="Arial" w:cs="Arial"/>
            <w:b/>
            <w:bCs/>
            <w:iCs/>
            <w:spacing w:val="20"/>
            <w:sz w:val="22"/>
            <w:szCs w:val="22"/>
          </w:rPr>
          <w:t>County</w:t>
        </w:r>
      </w:smartTag>
      <w:r w:rsidRPr="00A53FA1">
        <w:rPr>
          <w:rFonts w:ascii="Arial" w:hAnsi="Arial" w:cs="Arial"/>
          <w:b/>
          <w:bCs/>
          <w:iCs/>
          <w:spacing w:val="20"/>
          <w:sz w:val="22"/>
          <w:szCs w:val="22"/>
        </w:rPr>
        <w:t xml:space="preserve"> </w:t>
      </w:r>
      <w:smartTag w:uri="urn:schemas-microsoft-com:office:smarttags" w:element="PlaceType">
        <w:r w:rsidRPr="00A53FA1">
          <w:rPr>
            <w:rFonts w:ascii="Arial" w:hAnsi="Arial" w:cs="Arial"/>
            <w:b/>
            <w:bCs/>
            <w:iCs/>
            <w:spacing w:val="20"/>
            <w:sz w:val="22"/>
            <w:szCs w:val="22"/>
          </w:rPr>
          <w:t>Parks</w:t>
        </w:r>
      </w:smartTag>
    </w:smartTag>
    <w:r w:rsidRPr="00A53FA1">
      <w:rPr>
        <w:rFonts w:ascii="Arial" w:hAnsi="Arial" w:cs="Arial"/>
        <w:b/>
        <w:bCs/>
        <w:iCs/>
        <w:spacing w:val="20"/>
        <w:sz w:val="22"/>
        <w:szCs w:val="22"/>
      </w:rPr>
      <w:t xml:space="preserve"> and Recreation           </w:t>
    </w:r>
    <w:r w:rsidRPr="00A53FA1">
      <w:rPr>
        <w:rFonts w:ascii="Arial" w:hAnsi="Arial" w:cs="Arial"/>
        <w:b/>
        <w:bCs/>
        <w:spacing w:val="20"/>
        <w:sz w:val="22"/>
        <w:szCs w:val="22"/>
      </w:rPr>
      <w:t xml:space="preserve">Park Policies and Procedures </w:t>
    </w:r>
  </w:p>
  <w:p w:rsidR="005D3FC0" w:rsidRDefault="002E22A9">
    <w:pPr>
      <w:pStyle w:val="Header"/>
      <w:rPr>
        <w:b/>
        <w:b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0" w:rsidRDefault="002E22A9">
    <w:pPr>
      <w:pStyle w:val="Header"/>
      <w:jc w:val="center"/>
      <w:rPr>
        <w:rFonts w:ascii="Arial" w:hAnsi="Arial" w:cs="Arial"/>
        <w:b/>
        <w:bCs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9FB"/>
    <w:multiLevelType w:val="multilevel"/>
    <w:tmpl w:val="5CC8D48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697D79"/>
    <w:multiLevelType w:val="multilevel"/>
    <w:tmpl w:val="C2D2986C"/>
    <w:lvl w:ilvl="0">
      <w:start w:val="9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A9"/>
    <w:rsid w:val="00257DA0"/>
    <w:rsid w:val="002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2A9"/>
    <w:pPr>
      <w:keepNext/>
      <w:tabs>
        <w:tab w:val="left" w:pos="1440"/>
        <w:tab w:val="left" w:pos="1800"/>
        <w:tab w:val="left" w:pos="2880"/>
        <w:tab w:val="left" w:pos="3060"/>
      </w:tabs>
      <w:spacing w:line="360" w:lineRule="auto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E22A9"/>
    <w:pPr>
      <w:keepNext/>
      <w:spacing w:line="360" w:lineRule="auto"/>
      <w:outlineLvl w:val="2"/>
    </w:pPr>
    <w:rPr>
      <w:rFonts w:ascii="Microsoft Sans Serif" w:hAnsi="Microsoft Sans Serif" w:cs="Microsoft Sans Seri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A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2A9"/>
    <w:rPr>
      <w:rFonts w:ascii="Microsoft Sans Serif" w:eastAsia="Times New Roman" w:hAnsi="Microsoft Sans Serif" w:cs="Microsoft Sans Serif"/>
      <w:b/>
      <w:bCs/>
      <w:sz w:val="28"/>
      <w:szCs w:val="24"/>
    </w:rPr>
  </w:style>
  <w:style w:type="paragraph" w:styleId="EnvelopeReturn">
    <w:name w:val="envelope return"/>
    <w:basedOn w:val="Normal"/>
    <w:rsid w:val="002E22A9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rsid w:val="002E2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2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E2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2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2A9"/>
  </w:style>
  <w:style w:type="character" w:styleId="Hyperlink">
    <w:name w:val="Hyperlink"/>
    <w:basedOn w:val="DefaultParagraphFont"/>
    <w:rsid w:val="002E2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2A9"/>
    <w:pPr>
      <w:keepNext/>
      <w:tabs>
        <w:tab w:val="left" w:pos="1440"/>
        <w:tab w:val="left" w:pos="1800"/>
        <w:tab w:val="left" w:pos="2880"/>
        <w:tab w:val="left" w:pos="3060"/>
      </w:tabs>
      <w:spacing w:line="360" w:lineRule="auto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E22A9"/>
    <w:pPr>
      <w:keepNext/>
      <w:spacing w:line="360" w:lineRule="auto"/>
      <w:outlineLvl w:val="2"/>
    </w:pPr>
    <w:rPr>
      <w:rFonts w:ascii="Microsoft Sans Serif" w:hAnsi="Microsoft Sans Serif" w:cs="Microsoft Sans Seri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A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2A9"/>
    <w:rPr>
      <w:rFonts w:ascii="Microsoft Sans Serif" w:eastAsia="Times New Roman" w:hAnsi="Microsoft Sans Serif" w:cs="Microsoft Sans Serif"/>
      <w:b/>
      <w:bCs/>
      <w:sz w:val="28"/>
      <w:szCs w:val="24"/>
    </w:rPr>
  </w:style>
  <w:style w:type="paragraph" w:styleId="EnvelopeReturn">
    <w:name w:val="envelope return"/>
    <w:basedOn w:val="Normal"/>
    <w:rsid w:val="002E22A9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rsid w:val="002E2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2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E2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2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2A9"/>
  </w:style>
  <w:style w:type="character" w:styleId="Hyperlink">
    <w:name w:val="Hyperlink"/>
    <w:basedOn w:val="DefaultParagraphFont"/>
    <w:rsid w:val="002E2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arksrec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1</cp:revision>
  <dcterms:created xsi:type="dcterms:W3CDTF">2013-06-06T16:58:00Z</dcterms:created>
  <dcterms:modified xsi:type="dcterms:W3CDTF">2013-06-06T16:59:00Z</dcterms:modified>
</cp:coreProperties>
</file>